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2124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967230" wp14:editId="74A7724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19CD112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14:paraId="6B1721E3" w14:textId="77655FDC" w:rsidR="00636289" w:rsidRDefault="00862E0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 w:rsidRPr="006075D9">
        <w:rPr>
          <w:noProof/>
        </w:rPr>
        <w:drawing>
          <wp:inline distT="0" distB="0" distL="0" distR="0" wp14:anchorId="071B7E33" wp14:editId="3A07B231">
            <wp:extent cx="5496983" cy="847725"/>
            <wp:effectExtent l="0" t="0" r="889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5950" cy="89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A584BD8" w:rsidR="00636289" w:rsidRDefault="0063628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C57FEF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6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3D8F79A3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0A60A847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della </w:t>
      </w:r>
      <w:r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 50</w:t>
      </w:r>
    </w:p>
    <w:p w14:paraId="43286E95" w14:textId="77777777" w:rsidR="00636289" w:rsidRDefault="00636289" w:rsidP="00636289">
      <w:pPr>
        <w:spacing w:line="259" w:lineRule="auto"/>
        <w:ind w:left="71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7E0E2FB3" w:rsidR="00636289" w:rsidRPr="007F1434" w:rsidRDefault="00862E09" w:rsidP="00827909">
            <w:pPr>
              <w:jc w:val="both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62E09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 xml:space="preserve">PROCEDURA APERTA PER L'AFFIDAMENTO DEI LAVORI DI CUI AL PROGETTO “NUOVO ASILO NIDO VIA </w:t>
            </w:r>
            <w:proofErr w:type="gramStart"/>
            <w:r w:rsidRPr="00862E09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>GUARESCHI“ -</w:t>
            </w:r>
            <w:proofErr w:type="gramEnd"/>
            <w:r w:rsidRPr="00862E09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 xml:space="preserve"> FONDO PNRR MISSIONE 4 - ISTRUZIONE E RICERCA - COMPONENTE 1 - POTENZIAMENTO DELL'OFFERTA DEI SERVIZI DI ISTRUZIONE: DAGLI ASILI NIDO ALLE UNIVERSITÀ - INVESTIMENTO 1.1 "PIANO PER ASILI NIDO E SCUOLE DELL'INFANZIA E SERVIZI DI EDUCAZIONE E CURA PER LA PRIMA INFANZIA", FINANZIATO DALL'UNIONE EUROPEA - NEXT GENERATION EU - CUP E11B22000440006. CIG 9760446ED4.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Completare le parti in bianco con i dati richiesti e barrare le parti che non interessano, successivamente salvare il file in formato PDF e sottoscriverlo digitalmente prima di caricarlo su </w:t>
      </w:r>
      <w:bookmarkStart w:id="1" w:name="_GoBack"/>
      <w:bookmarkEnd w:id="1"/>
      <w:r>
        <w:rPr>
          <w:rFonts w:ascii="Tahoma" w:hAnsi="Tahoma" w:cs="Tahoma"/>
          <w:b/>
          <w:bCs/>
          <w:color w:val="FF0000"/>
          <w:sz w:val="20"/>
          <w:szCs w:val="20"/>
        </w:rPr>
        <w:t>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4011B" w:rsidRPr="00A91EE3" w14:paraId="6B71AB83" w14:textId="77777777" w:rsidTr="00821719">
        <w:tc>
          <w:tcPr>
            <w:tcW w:w="3250" w:type="dxa"/>
          </w:tcPr>
          <w:p w14:paraId="1C8E023C" w14:textId="14A5A24D" w:rsidR="0044011B" w:rsidRPr="00A91EE3" w:rsidRDefault="0044011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0EF86CC6" w14:textId="77777777" w:rsidR="0044011B" w:rsidRPr="00A91EE3" w:rsidRDefault="0044011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lastRenderedPageBreak/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proofErr w:type="spellStart"/>
      <w:r w:rsidRPr="00A91EE3">
        <w:rPr>
          <w:rFonts w:ascii="Calibri" w:hAnsi="Calibri" w:cs="Calibri"/>
          <w:i w:val="0"/>
          <w:sz w:val="20"/>
          <w:szCs w:val="20"/>
        </w:rPr>
        <w:t>d.l.</w:t>
      </w:r>
      <w:proofErr w:type="spellEnd"/>
      <w:r w:rsidRPr="00A91EE3">
        <w:rPr>
          <w:rFonts w:ascii="Calibri" w:hAnsi="Calibri" w:cs="Calibri"/>
          <w:i w:val="0"/>
          <w:sz w:val="20"/>
          <w:szCs w:val="20"/>
        </w:rPr>
        <w:t xml:space="preserve">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670A47FF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078FCE6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14:paraId="0C8AAF51" w14:textId="77777777" w:rsidR="00CB2173" w:rsidRDefault="00CB2173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lastRenderedPageBreak/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 è attribuibile la proprietà diretta o indiretta dell’ente, 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di voti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suﬃcienti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per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5DB26" w14:textId="77777777" w:rsidR="00F17859" w:rsidRDefault="00F17859" w:rsidP="00F17859">
      <w:r>
        <w:separator/>
      </w:r>
    </w:p>
  </w:endnote>
  <w:endnote w:type="continuationSeparator" w:id="0">
    <w:p w14:paraId="6DE012EF" w14:textId="77777777" w:rsidR="00F17859" w:rsidRDefault="00F17859" w:rsidP="00F1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63AED" w14:textId="5A173D7D" w:rsidR="00F17859" w:rsidRDefault="00F17859">
    <w:pPr>
      <w:pStyle w:val="Pidipagina"/>
    </w:pPr>
    <w:r>
      <w:rPr>
        <w:noProof/>
      </w:rPr>
      <w:drawing>
        <wp:inline distT="0" distB="0" distL="0" distR="0" wp14:anchorId="5B88DAD5" wp14:editId="3CAD9701">
          <wp:extent cx="2650490" cy="663781"/>
          <wp:effectExtent l="0" t="0" r="0" b="317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900" cy="6683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73F191" w14:textId="77777777" w:rsidR="00F17859" w:rsidRDefault="00F178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B0D80" w14:textId="77777777" w:rsidR="00F17859" w:rsidRDefault="00F17859" w:rsidP="00F17859">
      <w:r>
        <w:separator/>
      </w:r>
    </w:p>
  </w:footnote>
  <w:footnote w:type="continuationSeparator" w:id="0">
    <w:p w14:paraId="402303F5" w14:textId="77777777" w:rsidR="00F17859" w:rsidRDefault="00F17859" w:rsidP="00F1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B0C0A"/>
    <w:rsid w:val="000F5CA5"/>
    <w:rsid w:val="00113D43"/>
    <w:rsid w:val="001942B4"/>
    <w:rsid w:val="00197F90"/>
    <w:rsid w:val="001F5FC4"/>
    <w:rsid w:val="00201D14"/>
    <w:rsid w:val="00221679"/>
    <w:rsid w:val="002E173E"/>
    <w:rsid w:val="002E3228"/>
    <w:rsid w:val="002E44DC"/>
    <w:rsid w:val="003224C8"/>
    <w:rsid w:val="003370F5"/>
    <w:rsid w:val="003776A6"/>
    <w:rsid w:val="003F64A5"/>
    <w:rsid w:val="00412E35"/>
    <w:rsid w:val="004216F8"/>
    <w:rsid w:val="0044011B"/>
    <w:rsid w:val="00495834"/>
    <w:rsid w:val="004C7081"/>
    <w:rsid w:val="004D5443"/>
    <w:rsid w:val="005D0F0B"/>
    <w:rsid w:val="005D6B32"/>
    <w:rsid w:val="00636289"/>
    <w:rsid w:val="00660E24"/>
    <w:rsid w:val="006B4813"/>
    <w:rsid w:val="00700FA3"/>
    <w:rsid w:val="007F1434"/>
    <w:rsid w:val="00821719"/>
    <w:rsid w:val="00827909"/>
    <w:rsid w:val="00862E09"/>
    <w:rsid w:val="008D6BD9"/>
    <w:rsid w:val="008E0378"/>
    <w:rsid w:val="00977B44"/>
    <w:rsid w:val="009E0042"/>
    <w:rsid w:val="009E2D74"/>
    <w:rsid w:val="00A62BC7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655CF"/>
    <w:rsid w:val="00CB2173"/>
    <w:rsid w:val="00CE0048"/>
    <w:rsid w:val="00D21DE0"/>
    <w:rsid w:val="00D75D1F"/>
    <w:rsid w:val="00DB5C73"/>
    <w:rsid w:val="00E939DC"/>
    <w:rsid w:val="00EA190F"/>
    <w:rsid w:val="00EA4326"/>
    <w:rsid w:val="00ED4D18"/>
    <w:rsid w:val="00F17859"/>
    <w:rsid w:val="00F75A51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  <w:style w:type="paragraph" w:styleId="Intestazione">
    <w:name w:val="header"/>
    <w:basedOn w:val="Normale"/>
    <w:link w:val="IntestazioneCarattere"/>
    <w:rsid w:val="00F178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1785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178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8912</TotalTime>
  <Pages>6</Pages>
  <Words>1214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Arena, Viviana</cp:lastModifiedBy>
  <cp:revision>37</cp:revision>
  <dcterms:created xsi:type="dcterms:W3CDTF">2022-09-01T09:13:00Z</dcterms:created>
  <dcterms:modified xsi:type="dcterms:W3CDTF">2023-04-07T09:32:00Z</dcterms:modified>
</cp:coreProperties>
</file>